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1" w:rsidRPr="00D51783" w:rsidRDefault="00DE05C1" w:rsidP="00DE05C1">
      <w:pPr>
        <w:spacing w:beforeAutospacing="1" w:afterAutospacing="1"/>
        <w:rPr>
          <w:rFonts w:eastAsia="Times New Roman"/>
          <w:color w:val="000000"/>
        </w:rPr>
      </w:pPr>
      <w:proofErr w:type="gramStart"/>
      <w:r w:rsidRPr="00D51783">
        <w:rPr>
          <w:rFonts w:eastAsia="Times New Roman"/>
        </w:rPr>
        <w:t>С  целью реализации Приказа МЗ РФ  о</w:t>
      </w:r>
      <w:r>
        <w:rPr>
          <w:rFonts w:eastAsia="Times New Roman"/>
        </w:rPr>
        <w:t>т 26 октября 2017 г. N 869н  «Об</w:t>
      </w:r>
      <w:r w:rsidRPr="00D51783">
        <w:rPr>
          <w:rFonts w:eastAsia="Times New Roman"/>
        </w:rPr>
        <w:t xml:space="preserve"> </w:t>
      </w:r>
      <w:r>
        <w:rPr>
          <w:rFonts w:eastAsia="Times New Roman"/>
        </w:rPr>
        <w:t>утверждении порядка проведения диспансеризации определенных групп взрослого населения», Приказа</w:t>
      </w:r>
      <w:r w:rsidRPr="00D51783">
        <w:rPr>
          <w:rFonts w:eastAsia="Times New Roman"/>
        </w:rPr>
        <w:t xml:space="preserve"> от 27 </w:t>
      </w:r>
      <w:r>
        <w:rPr>
          <w:rFonts w:eastAsia="Times New Roman"/>
        </w:rPr>
        <w:t xml:space="preserve">декабря 2017 года N 2464-п </w:t>
      </w:r>
      <w:r w:rsidRPr="00D51783">
        <w:rPr>
          <w:rFonts w:eastAsia="Times New Roman"/>
        </w:rPr>
        <w:t xml:space="preserve">«О </w:t>
      </w:r>
      <w:r>
        <w:rPr>
          <w:rFonts w:eastAsia="Times New Roman"/>
        </w:rPr>
        <w:t xml:space="preserve">численности граждан, подлежащих диспансеризации определенных групп взрослого населения на территории Свердловской области в 2018 году», </w:t>
      </w:r>
      <w:r w:rsidRPr="00D51783">
        <w:rPr>
          <w:rFonts w:eastAsia="Times New Roman"/>
          <w:color w:val="000000"/>
        </w:rPr>
        <w:t>Приказа МЗ Свердловской области от 10.07.2018 г.  «О численности граждан, подлежащих диспансеризации определенных групп</w:t>
      </w:r>
      <w:proofErr w:type="gramEnd"/>
      <w:r w:rsidRPr="00D51783">
        <w:rPr>
          <w:rFonts w:eastAsia="Times New Roman"/>
          <w:color w:val="000000"/>
        </w:rPr>
        <w:t xml:space="preserve"> взрослого населения по схеме 1 раз в 2 года на территории Свердловской области» проведена диспансеризация определённых гру</w:t>
      </w:r>
      <w:proofErr w:type="gramStart"/>
      <w:r w:rsidRPr="00D51783">
        <w:rPr>
          <w:rFonts w:eastAsia="Times New Roman"/>
          <w:color w:val="000000"/>
        </w:rPr>
        <w:t>пп взр</w:t>
      </w:r>
      <w:proofErr w:type="gramEnd"/>
      <w:r w:rsidRPr="00D51783">
        <w:rPr>
          <w:rFonts w:eastAsia="Times New Roman"/>
          <w:color w:val="000000"/>
        </w:rPr>
        <w:t>ослого населения на территории ГО В. Тура.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3402"/>
        <w:gridCol w:w="2613"/>
      </w:tblGrid>
      <w:tr w:rsidR="00DE05C1" w:rsidRPr="000B1439" w:rsidTr="005856DF">
        <w:tc>
          <w:tcPr>
            <w:tcW w:w="675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  <w:lang w:val="en-US"/>
              </w:rPr>
              <w:t xml:space="preserve">N </w:t>
            </w:r>
            <w:proofErr w:type="spellStart"/>
            <w:r w:rsidRPr="00D51783">
              <w:rPr>
                <w:rFonts w:eastAsia="Calibri"/>
                <w:b/>
              </w:rPr>
              <w:t>п</w:t>
            </w:r>
            <w:proofErr w:type="spellEnd"/>
            <w:r w:rsidRPr="00D51783">
              <w:rPr>
                <w:rFonts w:eastAsia="Calibri"/>
                <w:b/>
              </w:rPr>
              <w:t>/</w:t>
            </w:r>
            <w:proofErr w:type="spellStart"/>
            <w:r w:rsidRPr="00D51783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 xml:space="preserve">          План</w:t>
            </w:r>
          </w:p>
        </w:tc>
        <w:tc>
          <w:tcPr>
            <w:tcW w:w="3402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>Факт</w:t>
            </w:r>
          </w:p>
        </w:tc>
        <w:tc>
          <w:tcPr>
            <w:tcW w:w="2613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>% выполнения</w:t>
            </w:r>
          </w:p>
        </w:tc>
      </w:tr>
      <w:tr w:rsidR="00DE05C1" w:rsidRPr="000B1439" w:rsidTr="005856DF">
        <w:tc>
          <w:tcPr>
            <w:tcW w:w="675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  <w:u w:val="single"/>
              </w:rPr>
              <w:t>1551</w:t>
            </w:r>
            <w:r w:rsidRPr="00D51783">
              <w:rPr>
                <w:rFonts w:eastAsia="Calibri"/>
                <w:b/>
              </w:rPr>
              <w:t xml:space="preserve"> по схеме 1 раз в 3 года</w:t>
            </w:r>
          </w:p>
        </w:tc>
        <w:tc>
          <w:tcPr>
            <w:tcW w:w="3402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>1551</w:t>
            </w:r>
          </w:p>
        </w:tc>
        <w:tc>
          <w:tcPr>
            <w:tcW w:w="2613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>100</w:t>
            </w:r>
          </w:p>
        </w:tc>
      </w:tr>
      <w:tr w:rsidR="00DE05C1" w:rsidRPr="000B1439" w:rsidTr="005856DF">
        <w:tc>
          <w:tcPr>
            <w:tcW w:w="675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  <w:u w:val="single"/>
              </w:rPr>
              <w:t>512</w:t>
            </w:r>
            <w:r w:rsidRPr="00D51783">
              <w:rPr>
                <w:rFonts w:eastAsia="Calibri"/>
                <w:b/>
              </w:rPr>
              <w:t xml:space="preserve"> по схеме 1 раз в 2 года</w:t>
            </w:r>
          </w:p>
        </w:tc>
        <w:tc>
          <w:tcPr>
            <w:tcW w:w="3402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>511</w:t>
            </w:r>
          </w:p>
        </w:tc>
        <w:tc>
          <w:tcPr>
            <w:tcW w:w="2613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>100</w:t>
            </w:r>
          </w:p>
        </w:tc>
      </w:tr>
    </w:tbl>
    <w:p w:rsidR="00DE05C1" w:rsidRPr="000B1439" w:rsidRDefault="00DE05C1" w:rsidP="00DE05C1"/>
    <w:p w:rsidR="00DE05C1" w:rsidRPr="00D51783" w:rsidRDefault="00DE05C1" w:rsidP="00DE05C1">
      <w:pPr>
        <w:ind w:firstLine="567"/>
      </w:pPr>
      <w:r w:rsidRPr="00D51783">
        <w:t>Распределение пациентов по группам здоровья в ходе проведения диспансеризации:</w:t>
      </w:r>
    </w:p>
    <w:p w:rsidR="00DE05C1" w:rsidRPr="00D51783" w:rsidRDefault="00DE05C1" w:rsidP="00DE05C1">
      <w:pPr>
        <w:numPr>
          <w:ilvl w:val="0"/>
          <w:numId w:val="2"/>
        </w:numPr>
        <w:contextualSpacing/>
      </w:pPr>
      <w:r w:rsidRPr="00D51783">
        <w:rPr>
          <w:b/>
          <w:i/>
          <w:lang w:val="en-US"/>
        </w:rPr>
        <w:t>I</w:t>
      </w:r>
      <w:r w:rsidRPr="00D51783">
        <w:rPr>
          <w:b/>
          <w:i/>
        </w:rPr>
        <w:t xml:space="preserve"> группа</w:t>
      </w:r>
      <w:r w:rsidRPr="00D51783">
        <w:t xml:space="preserve">   – </w:t>
      </w:r>
      <w:proofErr w:type="gramStart"/>
      <w:r w:rsidRPr="00D51783">
        <w:t>698  чел</w:t>
      </w:r>
      <w:proofErr w:type="gramEnd"/>
      <w:r w:rsidRPr="00D51783">
        <w:t>.  ( 45 %</w:t>
      </w:r>
      <w:proofErr w:type="gramStart"/>
      <w:r w:rsidRPr="00D51783">
        <w:t xml:space="preserve"> )</w:t>
      </w:r>
      <w:proofErr w:type="gramEnd"/>
    </w:p>
    <w:p w:rsidR="00DE05C1" w:rsidRPr="00D51783" w:rsidRDefault="00DE05C1" w:rsidP="00DE05C1">
      <w:pPr>
        <w:numPr>
          <w:ilvl w:val="0"/>
          <w:numId w:val="2"/>
        </w:numPr>
        <w:contextualSpacing/>
      </w:pPr>
      <w:r w:rsidRPr="00D51783">
        <w:rPr>
          <w:b/>
          <w:i/>
          <w:lang w:val="en-US"/>
        </w:rPr>
        <w:t>II</w:t>
      </w:r>
      <w:r w:rsidRPr="00D51783">
        <w:rPr>
          <w:b/>
          <w:i/>
        </w:rPr>
        <w:t xml:space="preserve"> группа</w:t>
      </w:r>
      <w:r w:rsidRPr="00D51783">
        <w:t xml:space="preserve"> – 577 человек ( 37 % )</w:t>
      </w:r>
    </w:p>
    <w:p w:rsidR="00DE05C1" w:rsidRPr="00D51783" w:rsidRDefault="00DE05C1" w:rsidP="00DE05C1">
      <w:pPr>
        <w:numPr>
          <w:ilvl w:val="0"/>
          <w:numId w:val="2"/>
        </w:numPr>
        <w:contextualSpacing/>
      </w:pPr>
      <w:r w:rsidRPr="00D51783">
        <w:rPr>
          <w:b/>
          <w:i/>
          <w:lang w:val="en-US"/>
        </w:rPr>
        <w:t>III</w:t>
      </w:r>
      <w:r w:rsidRPr="00D51783">
        <w:rPr>
          <w:b/>
          <w:i/>
        </w:rPr>
        <w:t xml:space="preserve">  А группа</w:t>
      </w:r>
      <w:r w:rsidRPr="00D51783">
        <w:t xml:space="preserve"> – 248 человек  ( 16  % )</w:t>
      </w:r>
    </w:p>
    <w:p w:rsidR="00DE05C1" w:rsidRPr="00D51783" w:rsidRDefault="00DE05C1" w:rsidP="00DE05C1">
      <w:pPr>
        <w:numPr>
          <w:ilvl w:val="0"/>
          <w:numId w:val="2"/>
        </w:numPr>
        <w:contextualSpacing/>
      </w:pPr>
      <w:r w:rsidRPr="00D51783">
        <w:rPr>
          <w:b/>
          <w:i/>
          <w:lang w:val="en-US"/>
        </w:rPr>
        <w:t>III</w:t>
      </w:r>
      <w:r w:rsidRPr="00D51783">
        <w:rPr>
          <w:b/>
          <w:i/>
        </w:rPr>
        <w:t xml:space="preserve"> Б группа</w:t>
      </w:r>
      <w:r w:rsidRPr="00D51783">
        <w:t xml:space="preserve"> – 28 человек ( 2 % )</w:t>
      </w:r>
    </w:p>
    <w:p w:rsidR="00DE05C1" w:rsidRDefault="00DE05C1" w:rsidP="00DE05C1">
      <w:pPr>
        <w:ind w:left="360"/>
        <w:contextualSpacing/>
      </w:pPr>
    </w:p>
    <w:p w:rsidR="00DE05C1" w:rsidRPr="00D51783" w:rsidRDefault="00DE05C1" w:rsidP="00DE05C1">
      <w:pPr>
        <w:ind w:left="360"/>
        <w:contextualSpacing/>
      </w:pPr>
      <w:r w:rsidRPr="00D51783">
        <w:t xml:space="preserve">На </w:t>
      </w:r>
      <w:r w:rsidRPr="00D51783">
        <w:rPr>
          <w:lang w:val="en-US"/>
        </w:rPr>
        <w:t>II</w:t>
      </w:r>
      <w:r w:rsidRPr="00D51783">
        <w:t xml:space="preserve"> этап диспансеризации направлено </w:t>
      </w:r>
      <w:r w:rsidRPr="00D51783">
        <w:rPr>
          <w:b/>
        </w:rPr>
        <w:t>546</w:t>
      </w:r>
      <w:r w:rsidRPr="00D51783">
        <w:t xml:space="preserve"> человек, что составляет </w:t>
      </w:r>
      <w:r w:rsidRPr="00D51783">
        <w:rPr>
          <w:b/>
        </w:rPr>
        <w:t xml:space="preserve">35 </w:t>
      </w:r>
      <w:r w:rsidRPr="00D51783">
        <w:t xml:space="preserve">%  </w:t>
      </w:r>
      <w:proofErr w:type="gramStart"/>
      <w:r w:rsidRPr="00D51783">
        <w:t xml:space="preserve">(  </w:t>
      </w:r>
      <w:proofErr w:type="gramEnd"/>
      <w:r w:rsidRPr="00D51783">
        <w:t>нормативные показатели – 30 %)</w:t>
      </w:r>
    </w:p>
    <w:p w:rsidR="00DE05C1" w:rsidRPr="000B1439" w:rsidRDefault="00DE05C1" w:rsidP="00DE05C1">
      <w:pPr>
        <w:ind w:left="360"/>
        <w:contextualSpacing/>
        <w:rPr>
          <w:sz w:val="28"/>
          <w:szCs w:val="28"/>
        </w:rPr>
      </w:pPr>
    </w:p>
    <w:p w:rsidR="00DE05C1" w:rsidRPr="000B1439" w:rsidRDefault="00DE05C1" w:rsidP="00DE05C1">
      <w:pPr>
        <w:ind w:left="360"/>
        <w:contextualSpacing/>
      </w:pPr>
      <w:r>
        <w:rPr>
          <w:b/>
          <w:i/>
          <w:noProof/>
        </w:rPr>
        <w:drawing>
          <wp:inline distT="0" distB="0" distL="0" distR="0">
            <wp:extent cx="4455160" cy="312610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05C1" w:rsidRPr="000B1439" w:rsidRDefault="00DE05C1" w:rsidP="00DE05C1">
      <w:pPr>
        <w:ind w:firstLine="567"/>
        <w:jc w:val="center"/>
      </w:pPr>
    </w:p>
    <w:p w:rsidR="00DE05C1" w:rsidRPr="000B1439" w:rsidRDefault="00DE05C1" w:rsidP="00DE05C1">
      <w:pPr>
        <w:numPr>
          <w:ilvl w:val="0"/>
          <w:numId w:val="1"/>
        </w:numPr>
        <w:jc w:val="both"/>
        <w:rPr>
          <w:b/>
          <w:i/>
        </w:rPr>
      </w:pPr>
      <w:r w:rsidRPr="000B1439">
        <w:lastRenderedPageBreak/>
        <w:t xml:space="preserve">Высокий риск смерти от сердечно – сосудистой патологии – </w:t>
      </w:r>
      <w:r w:rsidRPr="000B1439">
        <w:rPr>
          <w:b/>
        </w:rPr>
        <w:t xml:space="preserve">320 </w:t>
      </w:r>
      <w:r w:rsidRPr="000B1439">
        <w:t xml:space="preserve">чел. </w:t>
      </w:r>
      <w:proofErr w:type="gramStart"/>
      <w:r w:rsidRPr="000B1439">
        <w:t xml:space="preserve">( </w:t>
      </w:r>
      <w:proofErr w:type="gramEnd"/>
      <w:r w:rsidRPr="000B1439">
        <w:t>21 % )</w:t>
      </w:r>
    </w:p>
    <w:p w:rsidR="00DE05C1" w:rsidRPr="000B1439" w:rsidRDefault="00DE05C1" w:rsidP="00DE05C1">
      <w:pPr>
        <w:ind w:left="708"/>
        <w:jc w:val="both"/>
      </w:pPr>
      <w:r w:rsidRPr="000B1439">
        <w:t xml:space="preserve">Очень высокий риск смерти от сердечно – сосудистой патологии – </w:t>
      </w:r>
      <w:r w:rsidRPr="000B1439">
        <w:rPr>
          <w:b/>
        </w:rPr>
        <w:t>171</w:t>
      </w:r>
      <w:r w:rsidRPr="000B1439">
        <w:t xml:space="preserve"> человек</w:t>
      </w:r>
      <w:proofErr w:type="gramStart"/>
      <w:r w:rsidRPr="000B1439">
        <w:t xml:space="preserve">( </w:t>
      </w:r>
      <w:proofErr w:type="gramEnd"/>
      <w:r w:rsidRPr="000B1439">
        <w:t>11 % )</w:t>
      </w:r>
    </w:p>
    <w:p w:rsidR="00DE05C1" w:rsidRPr="000B1439" w:rsidRDefault="00DE05C1" w:rsidP="00DE05C1">
      <w:pPr>
        <w:ind w:left="708"/>
        <w:rPr>
          <w:b/>
          <w:i/>
        </w:rPr>
      </w:pPr>
      <w:r w:rsidRPr="000B1439">
        <w:rPr>
          <w:b/>
          <w:i/>
        </w:rPr>
        <w:t>В ходе проведения диспансеризации выявлены факторы риска развития хронических неинфекционных заболеваний, не являющиеся заболеваниями</w:t>
      </w:r>
    </w:p>
    <w:p w:rsidR="00DE05C1" w:rsidRPr="000B1439" w:rsidRDefault="00DE05C1" w:rsidP="00DE05C1">
      <w:pPr>
        <w:ind w:left="708"/>
        <w:rPr>
          <w:b/>
          <w:i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1"/>
        <w:gridCol w:w="2794"/>
        <w:gridCol w:w="2879"/>
      </w:tblGrid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 xml:space="preserve">    Фактор риска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>Абсолютный показатель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  <w:b/>
              </w:rPr>
            </w:pPr>
            <w:r w:rsidRPr="00D51783">
              <w:rPr>
                <w:rFonts w:eastAsia="Calibri"/>
                <w:b/>
              </w:rPr>
              <w:t xml:space="preserve">% от числа </w:t>
            </w:r>
            <w:proofErr w:type="gramStart"/>
            <w:r w:rsidRPr="00D51783">
              <w:rPr>
                <w:rFonts w:eastAsia="Calibri"/>
                <w:b/>
              </w:rPr>
              <w:t>прошедших</w:t>
            </w:r>
            <w:proofErr w:type="gramEnd"/>
            <w:r w:rsidRPr="00D51783">
              <w:rPr>
                <w:rFonts w:eastAsia="Calibri"/>
                <w:b/>
              </w:rPr>
              <w:t xml:space="preserve"> диспансеризацию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Повышенный уровень АД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98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6 %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Повышенное содержание глюкозы в крови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13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Избыточная масса тела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112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8 %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Курение табака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198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13 %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Риск пагубного употребления алкоголя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0,2 %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Риск пагубного употребления наркотических средств и психотропных веществ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37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2 %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Низкая физическая активность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192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12  %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Отягощенная наследственность по ЗН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36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2%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Отягощенная наследственность по ССЗ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48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4 %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Отягощенная наследственность по хроническим болезням дыхательных путей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18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1 %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Отягощенная наследственность по сахарному диабету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15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1%</w:t>
            </w:r>
          </w:p>
        </w:tc>
      </w:tr>
      <w:tr w:rsidR="00DE05C1" w:rsidRPr="000B1439" w:rsidTr="005856DF">
        <w:tc>
          <w:tcPr>
            <w:tcW w:w="2861" w:type="dxa"/>
            <w:shd w:val="clear" w:color="auto" w:fill="auto"/>
          </w:tcPr>
          <w:p w:rsidR="00DE05C1" w:rsidRPr="00D51783" w:rsidRDefault="00DE05C1" w:rsidP="005856DF">
            <w:pPr>
              <w:rPr>
                <w:rFonts w:eastAsia="Calibri"/>
              </w:rPr>
            </w:pPr>
            <w:r w:rsidRPr="00D51783">
              <w:rPr>
                <w:rFonts w:eastAsia="Calibri"/>
              </w:rPr>
              <w:t>Нерациональное питание</w:t>
            </w:r>
          </w:p>
        </w:tc>
        <w:tc>
          <w:tcPr>
            <w:tcW w:w="2794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132</w:t>
            </w:r>
          </w:p>
        </w:tc>
        <w:tc>
          <w:tcPr>
            <w:tcW w:w="2879" w:type="dxa"/>
            <w:shd w:val="clear" w:color="auto" w:fill="auto"/>
          </w:tcPr>
          <w:p w:rsidR="00DE05C1" w:rsidRPr="00D51783" w:rsidRDefault="00DE05C1" w:rsidP="005856DF">
            <w:pPr>
              <w:jc w:val="center"/>
              <w:rPr>
                <w:rFonts w:eastAsia="Calibri"/>
              </w:rPr>
            </w:pPr>
            <w:r w:rsidRPr="00D51783">
              <w:rPr>
                <w:rFonts w:eastAsia="Calibri"/>
              </w:rPr>
              <w:t>9 %112</w:t>
            </w:r>
          </w:p>
        </w:tc>
      </w:tr>
    </w:tbl>
    <w:p w:rsidR="00DE05C1" w:rsidRPr="000B1439" w:rsidRDefault="00DE05C1" w:rsidP="00DE05C1"/>
    <w:p w:rsidR="00DE05C1" w:rsidRPr="000B1439" w:rsidRDefault="00DE05C1" w:rsidP="00DE05C1">
      <w:r>
        <w:rPr>
          <w:noProof/>
        </w:rPr>
        <w:lastRenderedPageBreak/>
        <w:drawing>
          <wp:inline distT="0" distB="0" distL="0" distR="0">
            <wp:extent cx="5241925" cy="274320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05C1" w:rsidRPr="000B1439" w:rsidRDefault="00DE05C1" w:rsidP="00DE05C1">
      <w:pPr>
        <w:ind w:left="786"/>
      </w:pPr>
      <w:r w:rsidRPr="000B1439">
        <w:t xml:space="preserve"> Таким образом, среди факторов риска неинфекционных хронических заболеваний ведущее место занимают:</w:t>
      </w:r>
    </w:p>
    <w:p w:rsidR="00DE05C1" w:rsidRPr="000B1439" w:rsidRDefault="00DE05C1" w:rsidP="00DE05C1">
      <w:pPr>
        <w:ind w:left="786"/>
        <w:rPr>
          <w:b/>
        </w:rPr>
      </w:pPr>
      <w:r w:rsidRPr="000B1439">
        <w:rPr>
          <w:b/>
        </w:rPr>
        <w:t>27 % - курение</w:t>
      </w:r>
    </w:p>
    <w:p w:rsidR="00DE05C1" w:rsidRPr="000B1439" w:rsidRDefault="00DE05C1" w:rsidP="00DE05C1">
      <w:pPr>
        <w:ind w:left="786"/>
        <w:rPr>
          <w:b/>
        </w:rPr>
      </w:pPr>
      <w:r w:rsidRPr="000B1439">
        <w:rPr>
          <w:b/>
        </w:rPr>
        <w:t>26 % - низкая физическая активность</w:t>
      </w:r>
    </w:p>
    <w:p w:rsidR="00DE05C1" w:rsidRPr="000B1439" w:rsidRDefault="00DE05C1" w:rsidP="00DE05C1">
      <w:pPr>
        <w:ind w:left="786"/>
        <w:rPr>
          <w:b/>
        </w:rPr>
      </w:pPr>
      <w:r w:rsidRPr="000B1439">
        <w:rPr>
          <w:b/>
        </w:rPr>
        <w:t>18 % - нерациональное питание</w:t>
      </w:r>
    </w:p>
    <w:p w:rsidR="00DE05C1" w:rsidRPr="000B1439" w:rsidRDefault="00DE05C1" w:rsidP="00DE05C1">
      <w:pPr>
        <w:ind w:left="786"/>
        <w:rPr>
          <w:b/>
        </w:rPr>
      </w:pPr>
      <w:r w:rsidRPr="000B1439">
        <w:rPr>
          <w:b/>
        </w:rPr>
        <w:t>15 % - избыточн6ая масса тела</w:t>
      </w:r>
    </w:p>
    <w:p w:rsidR="00DE05C1" w:rsidRPr="000B1439" w:rsidRDefault="00DE05C1" w:rsidP="00DE05C1">
      <w:pPr>
        <w:ind w:left="786"/>
        <w:rPr>
          <w:b/>
        </w:rPr>
      </w:pPr>
      <w:r w:rsidRPr="000B1439">
        <w:rPr>
          <w:b/>
        </w:rPr>
        <w:t>11 % - отягощенная наследственность</w:t>
      </w:r>
    </w:p>
    <w:p w:rsidR="00DE05C1" w:rsidRPr="000B1439" w:rsidRDefault="00DE05C1" w:rsidP="00DE05C1">
      <w:pPr>
        <w:ind w:left="786"/>
        <w:rPr>
          <w:b/>
        </w:rPr>
      </w:pPr>
      <w:r w:rsidRPr="000B1439">
        <w:rPr>
          <w:b/>
        </w:rPr>
        <w:t>2 % - повышение уровня глюкозы в крови</w:t>
      </w:r>
    </w:p>
    <w:p w:rsidR="00DE05C1" w:rsidRPr="000B1439" w:rsidRDefault="00DE05C1" w:rsidP="00DE05C1">
      <w:pPr>
        <w:ind w:left="786"/>
        <w:rPr>
          <w:b/>
        </w:rPr>
      </w:pPr>
      <w:r w:rsidRPr="000B1439">
        <w:rPr>
          <w:b/>
        </w:rPr>
        <w:t>1 % - повышение АД.</w:t>
      </w:r>
    </w:p>
    <w:p w:rsidR="00DE05C1" w:rsidRPr="000B1439" w:rsidRDefault="00DE05C1" w:rsidP="00DE05C1">
      <w:pPr>
        <w:ind w:left="786"/>
      </w:pPr>
    </w:p>
    <w:p w:rsidR="00DE05C1" w:rsidRPr="000B1439" w:rsidRDefault="00DE05C1" w:rsidP="00DE05C1">
      <w:pPr>
        <w:numPr>
          <w:ilvl w:val="0"/>
          <w:numId w:val="1"/>
        </w:numPr>
        <w:jc w:val="both"/>
      </w:pPr>
      <w:r w:rsidRPr="000B1439">
        <w:t xml:space="preserve"> Индивидуальное углублённое профилактическое консультирование – </w:t>
      </w:r>
      <w:r w:rsidRPr="000B1439">
        <w:rPr>
          <w:b/>
        </w:rPr>
        <w:t xml:space="preserve">518 </w:t>
      </w:r>
      <w:r w:rsidRPr="000B1439">
        <w:t xml:space="preserve">человек, групповое консультирование – </w:t>
      </w:r>
      <w:r w:rsidRPr="000B1439">
        <w:rPr>
          <w:b/>
        </w:rPr>
        <w:t xml:space="preserve">146   </w:t>
      </w:r>
      <w:r w:rsidRPr="000B1439">
        <w:t>человек.</w:t>
      </w:r>
    </w:p>
    <w:p w:rsidR="009D5D6D" w:rsidRDefault="009D5D6D"/>
    <w:sectPr w:rsidR="009D5D6D" w:rsidSect="009D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10F7"/>
    <w:multiLevelType w:val="hybridMultilevel"/>
    <w:tmpl w:val="C72467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CC721A4"/>
    <w:multiLevelType w:val="hybridMultilevel"/>
    <w:tmpl w:val="92F686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5C1"/>
    <w:rsid w:val="009D5D6D"/>
    <w:rsid w:val="00D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C1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5C1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Группы здоровья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140155867743046"/>
          <c:y val="0.13583594705401333"/>
          <c:w val="0.86716569064638371"/>
          <c:h val="0.410659811639261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 А группа</c:v>
                </c:pt>
                <c:pt idx="3">
                  <c:v>3 Б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698</c:v>
                </c:pt>
                <c:pt idx="1">
                  <c:v>577</c:v>
                </c:pt>
                <c:pt idx="2">
                  <c:v>248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 А группа</c:v>
                </c:pt>
                <c:pt idx="3">
                  <c:v>3 Б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 А группа</c:v>
                </c:pt>
                <c:pt idx="3">
                  <c:v>3 Б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0"/>
        <c:gapDepth val="0"/>
        <c:shape val="box"/>
        <c:axId val="94342144"/>
        <c:axId val="94360320"/>
        <c:axId val="0"/>
      </c:bar3DChart>
      <c:catAx>
        <c:axId val="94342144"/>
        <c:scaling>
          <c:orientation val="minMax"/>
        </c:scaling>
        <c:axPos val="b"/>
        <c:minorGridlines/>
        <c:numFmt formatCode="General" sourceLinked="1"/>
        <c:majorTickMark val="none"/>
        <c:tickLblPos val="nextTo"/>
        <c:crossAx val="94360320"/>
        <c:crosses val="autoZero"/>
        <c:auto val="1"/>
        <c:lblAlgn val="ctr"/>
        <c:lblOffset val="100"/>
      </c:catAx>
      <c:valAx>
        <c:axId val="94360320"/>
        <c:scaling>
          <c:orientation val="minMax"/>
        </c:scaling>
        <c:axPos val="l"/>
        <c:majorGridlines/>
        <c:numFmt formatCode="General" sourceLinked="1"/>
        <c:tickLblPos val="nextTo"/>
        <c:crossAx val="94342144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</c:chart>
  <c:spPr>
    <a:gradFill flip="none" rotWithShape="1">
      <a:gsLst>
        <a:gs pos="0">
          <a:schemeClr val="accent5">
            <a:lumMod val="20000"/>
            <a:lumOff val="80000"/>
            <a:shade val="30000"/>
            <a:satMod val="115000"/>
          </a:schemeClr>
        </a:gs>
        <a:gs pos="50000">
          <a:schemeClr val="accent5">
            <a:lumMod val="20000"/>
            <a:lumOff val="80000"/>
            <a:shade val="67500"/>
            <a:satMod val="115000"/>
          </a:schemeClr>
        </a:gs>
        <a:gs pos="100000">
          <a:schemeClr val="accent5">
            <a:lumMod val="20000"/>
            <a:lumOff val="80000"/>
            <a:shade val="100000"/>
            <a:satMod val="115000"/>
          </a:schemeClr>
        </a:gs>
      </a:gsLst>
      <a:path path="circle">
        <a:fillToRect l="100000" b="100000"/>
      </a:path>
      <a:tileRect t="-100000" r="-100000"/>
    </a:gradFill>
    <a:ln>
      <a:solidFill>
        <a:schemeClr val="accent2">
          <a:lumMod val="60000"/>
          <a:lumOff val="40000"/>
        </a:schemeClr>
      </a:solidFill>
    </a:ln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7"/>
              <a:t>Распределение</a:t>
            </a:r>
            <a:r>
              <a:rPr lang="ru-RU" sz="1197" baseline="0"/>
              <a:t> пациентов по факторам риска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bestFit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Курение</c:v>
                </c:pt>
                <c:pt idx="1">
                  <c:v>Низкая физическая активность</c:v>
                </c:pt>
                <c:pt idx="2">
                  <c:v>Нерациональное питание</c:v>
                </c:pt>
                <c:pt idx="3">
                  <c:v>Избыточная масса тела</c:v>
                </c:pt>
                <c:pt idx="4">
                  <c:v>Гипергликемия</c:v>
                </c:pt>
                <c:pt idx="5">
                  <c:v>Повышенный уровень АД</c:v>
                </c:pt>
                <c:pt idx="6">
                  <c:v>Отягощённая наследственность</c:v>
                </c:pt>
                <c:pt idx="7">
                  <c:v>Употребление ПАВ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198</c:v>
                </c:pt>
                <c:pt idx="1">
                  <c:v>192</c:v>
                </c:pt>
                <c:pt idx="2">
                  <c:v>132</c:v>
                </c:pt>
                <c:pt idx="3">
                  <c:v>112</c:v>
                </c:pt>
                <c:pt idx="4">
                  <c:v>13</c:v>
                </c:pt>
                <c:pt idx="5">
                  <c:v>12</c:v>
                </c:pt>
                <c:pt idx="6">
                  <c:v>81</c:v>
                </c:pt>
                <c:pt idx="7">
                  <c:v>4</c:v>
                </c:pt>
              </c:numCache>
            </c:numRef>
          </c:val>
        </c:ser>
      </c:pie3DChart>
      <c:spPr>
        <a:noFill/>
        <a:ln w="25395">
          <a:noFill/>
        </a:ln>
      </c:spPr>
    </c:plotArea>
    <c:legend>
      <c:legendPos val="b"/>
      <c:legendEntry>
        <c:idx val="7"/>
        <c:delete val="1"/>
      </c:legendEntry>
    </c:legend>
    <c:plotVisOnly val="1"/>
    <c:dispBlanksAs val="zero"/>
  </c:chart>
  <c:spPr>
    <a:solidFill>
      <a:schemeClr val="accent2">
        <a:lumMod val="20000"/>
        <a:lumOff val="8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А. Агаева</dc:creator>
  <cp:lastModifiedBy>Саида А. Агаева</cp:lastModifiedBy>
  <cp:revision>1</cp:revision>
  <dcterms:created xsi:type="dcterms:W3CDTF">2019-04-19T06:15:00Z</dcterms:created>
  <dcterms:modified xsi:type="dcterms:W3CDTF">2019-04-19T06:16:00Z</dcterms:modified>
</cp:coreProperties>
</file>